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深化赤水河流域生态文明制度改革研究报告</w:t>
      </w:r>
    </w:p>
    <w:p>
      <w:r>
        <w:rPr>
          <w:rFonts w:ascii="宋体" w:hAnsi="宋体" w:eastAsia="宋体"/>
          <w:sz w:val="24"/>
        </w:rPr>
        <w:t>中共遵义市委政策研究室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深化赤水河流域生态文明制度改革研究报告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中共遵义市委政策研究室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本书出售、求购地址：https://www.jiaokey.com/book/detail/14506783.html</w:t>
      </w:r>
    </w:p>
    <w:p>
      <w:r>
        <w:t>更多相关图书推荐：https://www.jiaokey.com</w:t>
      </w:r>
    </w:p>
    <w:p>
      <w:r>
        <w:t>中共遵义市委政策研究室 其他作品：https://www.jiaokey.com/tag/中共遵义市委政策研究室.html</w:t>
      </w:r>
    </w:p>
    <w:p>
      <w:r>
        <w:t>关键词搜索：https://www.jiaokey.com/tag/深化赤水河流域生态文明制度改革研究报告.html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