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关于我省经济弱县同步建成小康的调研报告</w:t>
      </w:r>
    </w:p>
    <w:p>
      <w:r>
        <w:rPr>
          <w:rFonts w:ascii="宋体" w:hAnsi="宋体" w:eastAsia="宋体"/>
          <w:sz w:val="24"/>
        </w:rPr>
        <w:t>张绍新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关于我省经济弱县同步建成小康的调研报告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本书出售、求购地址：https://www.jiaokey.com/book/detail/14506752.html</w:t>
      </w:r>
    </w:p>
    <w:p>
      <w:r>
        <w:t>更多相关图书推荐：https://www.jiaokey.com</w:t>
      </w:r>
    </w:p>
    <w:p>
      <w:r>
        <w:t>张绍新 其他作品：https://www.jiaokey.com/tag/张绍新.html</w:t>
      </w:r>
    </w:p>
    <w:p>
      <w:r>
        <w:t>关键词搜索：https://www.jiaokey.com/tag/关于我省经济弱县同步建成小康的调研报告.html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