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少数民族大学生创新精神与心理健康培养现状与促进的对策研究  以苗族、布依族等为例</w:t>
      </w:r>
    </w:p>
    <w:p>
      <w:r>
        <w:rPr>
          <w:rFonts w:ascii="宋体" w:hAnsi="宋体" w:eastAsia="宋体"/>
          <w:sz w:val="24"/>
        </w:rPr>
        <w:t>王洪礼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少数民族大学生创新精神与心理健康培养现状与促进的对策研究  以苗族、布依族等为例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本书出售、求购地址：https://www.jiaokey.com/book/detail/14506749.html</w:t>
      </w:r>
    </w:p>
    <w:p>
      <w:r>
        <w:t>更多相关图书推荐：https://www.jiaokey.com</w:t>
      </w:r>
    </w:p>
    <w:p>
      <w:r>
        <w:t>王洪礼 其他作品：https://www.jiaokey.com/tag/王洪礼.html</w:t>
      </w:r>
    </w:p>
    <w:p>
      <w:r>
        <w:t>贵州师范大学出版社 出版图书：https://www.jiaokey.com/tag/贵州师范大学出版社.html</w:t>
      </w:r>
    </w:p>
    <w:p>
      <w:r>
        <w:t>关键词搜索：https://www.jiaokey.com/tag/少数民族大学生创新精神与心理健康培养现状与促进的对策研究  以苗族、布依族等为例.html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