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土地房屋租赁疑难问题  理论解答与案例指引</w:t>
      </w:r>
    </w:p>
    <w:p>
      <w:r>
        <w:rPr>
          <w:rFonts w:ascii="宋体" w:hAnsi="宋体" w:eastAsia="宋体"/>
          <w:sz w:val="24"/>
        </w:rPr>
        <w:t>刘国林编著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土地房屋租赁疑难问题  理论解答与案例指引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本书出售、求购地址：https://www.jiaokey.com/book/detail/14501729.html</w:t>
      </w:r>
    </w:p>
    <w:p>
      <w:r>
        <w:t>更多相关图书推荐：https://www.jiaokey.com</w:t>
      </w:r>
    </w:p>
    <w:p>
      <w:r>
        <w:t>刘国林编著 其他作品：https://www.jiaokey.com/tag/刘国林编著.html</w:t>
      </w:r>
    </w:p>
    <w:p>
      <w:r>
        <w:t>北京：人民法院 出版图书：https://www.jiaokey.com/tag/北京：人民法院.html</w:t>
      </w:r>
    </w:p>
    <w:p>
      <w:r>
        <w:t>关键词搜索：https://www.jiaokey.com/tag/土地房屋租赁疑难问题  理论解答与案例指引.html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