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视觉航标基础理论</w:t>
      </w:r>
    </w:p>
    <w:p>
      <w:r>
        <w:rPr>
          <w:rFonts w:ascii="宋体" w:hAnsi="宋体" w:eastAsia="宋体"/>
          <w:sz w:val="24"/>
        </w:rPr>
        <w:t>渊田研，坪内纪幸著；王益萍译；郭凤昌校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视觉航标基础理论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渊田研，坪内纪幸著；王益萍译；郭凤昌校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中国航海学会航标专业委员会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本书出售、求购地址：https://www.jiaokey.com/book/detail/14499817.html</w:t>
      </w:r>
    </w:p>
    <w:p>
      <w:r>
        <w:t>更多相关图书推荐：https://www.jiaokey.com</w:t>
      </w:r>
    </w:p>
    <w:p>
      <w:r>
        <w:t>渊田研，坪内纪幸著；王益萍译；郭凤昌校 其他作品：https://www.jiaokey.com/tag/渊田研，坪内纪幸著；王益萍译；郭凤昌校.html</w:t>
      </w:r>
    </w:p>
    <w:p>
      <w:r>
        <w:t>中国航海学会航标专业委员会 出版图书：https://www.jiaokey.com/tag/中国航海学会航标专业委员会.html</w:t>
      </w:r>
    </w:p>
    <w:p>
      <w:r>
        <w:t>关键词搜索：https://www.jiaokey.com/tag/视觉航标基础理论.html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