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行政诉讼法案例教程</w:t>
      </w:r>
    </w:p>
    <w:p>
      <w:r>
        <w:rPr>
          <w:rFonts w:ascii="宋体" w:hAnsi="宋体" w:eastAsia="宋体"/>
          <w:sz w:val="24"/>
        </w:rPr>
        <w:t>申静，韩锦霞主编；尚海龙，许双全，李凯瑞副主编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申静，韩锦霞主编；尚海龙，许双全，李凯瑞副主编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本书出售、求购地址：https://www.jiaokey.com/book/detail/14495323.html</w:t>
      </w:r>
    </w:p>
    <w:p>
      <w:r>
        <w:t>更多相关图书推荐：https://www.jiaokey.com</w:t>
      </w:r>
    </w:p>
    <w:p>
      <w:r>
        <w:t>申静，韩锦霞主编；尚海龙，许双全，李凯瑞副主编 其他作品：https://www.jiaokey.com/tag/申静，韩锦霞主编；尚海龙，许双全，李凯瑞副主编.html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关键词搜索：https://www.jiaokey.com/tag/行政诉讼法案例教程.html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