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圈层效应  理解消费主力95后的商业逻辑</w:t>
      </w:r>
    </w:p>
    <w:p>
      <w:r>
        <w:rPr>
          <w:rFonts w:ascii="宋体" w:hAnsi="宋体" w:eastAsia="宋体"/>
          <w:sz w:val="24"/>
        </w:rPr>
        <w:t>（美）托马斯·科洛波洛斯，（美）丹·克尔德森著；闫晓珊译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圈层效应  理解消费主力95后的商业逻辑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（美）托马斯·科洛波洛斯，（美）丹·克尔德森著；闫晓珊译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本书出售、求购地址：https://www.jiaokey.com/book/detail/14495008.html</w:t>
      </w:r>
    </w:p>
    <w:p>
      <w:r>
        <w:t>更多相关图书推荐：https://www.jiaokey.com</w:t>
      </w:r>
    </w:p>
    <w:p>
      <w:r>
        <w:t>（美）托马斯·科洛波洛斯，（美）丹·克尔德森著；闫晓珊译 其他作品：https://www.jiaokey.com/tag/（美）托马斯·科洛波洛斯，（美）丹·克尔德森著；闫晓珊译.html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关键词搜索：https://www.jiaokey.com/tag/圈层效应  理解消费主力95后的商业逻辑.html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