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十二编  第17册  魏晋南北朝论体文通论（上）</w:t>
      </w:r>
    </w:p>
    <w:p>
      <w:r>
        <w:rPr>
          <w:rFonts w:ascii="宋体" w:hAnsi="宋体" w:eastAsia="宋体"/>
          <w:sz w:val="24"/>
        </w:rPr>
        <w:t>杨朝蕾著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十二编  第17册  魏晋南北朝论体文通论（上）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本书出售、求购地址：https://www.jiaokey.com/book/detail/14493620.html</w:t>
      </w:r>
    </w:p>
    <w:p>
      <w:r>
        <w:t>更多相关图书推荐：https://www.jiaokey.com</w:t>
      </w:r>
    </w:p>
    <w:p>
      <w:r>
        <w:t>杨朝蕾著 其他作品：https://www.jiaokey.com/tag/杨朝蕾著.html</w:t>
      </w:r>
    </w:p>
    <w:p>
      <w:r>
        <w:t>关键词搜索：https://www.jiaokey.com/tag/古典文学研究辑刊  十二编  第17册  魏晋南北朝论体文通论（上）.html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