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  原理篇</w:t>
      </w:r>
    </w:p>
    <w:p>
      <w:r>
        <w:rPr>
          <w:rFonts w:ascii="宋体" w:hAnsi="宋体" w:eastAsia="宋体"/>
          <w:sz w:val="24"/>
        </w:rPr>
        <w:t>刘晓红，蔡丽朋，马云玲主编；马长波，陈俭勇，李鸿芳，董迎娜等副主编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  原理篇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刘晓红，蔡丽朋，马云玲主编；马长波，陈俭勇，李鸿芳，董迎娜等副主编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本书出售、求购地址：https://www.jiaokey.com/book/detail/14493410.html</w:t>
      </w:r>
    </w:p>
    <w:p>
      <w:r>
        <w:t>更多相关图书推荐：https://www.jiaokey.com</w:t>
      </w:r>
    </w:p>
    <w:p>
      <w:r>
        <w:t>刘晓红，蔡丽朋，马云玲主编；马长波，陈俭勇，李鸿芳，董迎娜等副主编 其他作品：https://www.jiaokey.com/tag/刘晓红，蔡丽朋，马云玲主编；马长波，陈俭勇，李鸿芳，董迎娜等副主编.html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关键词搜索：https://www.jiaokey.com/tag/混凝土结构设计  原理篇.html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