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商务智能理论与实践</w:t>
      </w:r>
    </w:p>
    <w:p>
      <w:r>
        <w:rPr>
          <w:rFonts w:ascii="宋体" w:hAnsi="宋体" w:eastAsia="宋体"/>
          <w:sz w:val="24"/>
        </w:rPr>
        <w:t>薛云，陈默，黄金燕，陈建斌，柯世芳，张蕾，刘秋霞编著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薛云，陈默，黄金燕，陈建斌，柯世芳，张蕾，刘秋霞编著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本书出售、求购地址：https://www.jiaokey.com/book/detail/14492862.html</w:t>
      </w:r>
    </w:p>
    <w:p>
      <w:r>
        <w:t>更多相关图书推荐：https://www.jiaokey.com</w:t>
      </w:r>
    </w:p>
    <w:p>
      <w:r>
        <w:t>薛云，陈默，黄金燕，陈建斌，柯世芳，张蕾，刘秋霞编著 其他作品：https://www.jiaokey.com/tag/薛云，陈默，黄金燕，陈建斌，柯世芳，张蕾，刘秋霞编著.html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关键词搜索：https://www.jiaokey.com/tag/商务智能理论与实践.html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