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培育心灵的力量  企业EAP与组织心理健康管理</w:t>
      </w:r>
    </w:p>
    <w:p>
      <w:r>
        <w:rPr>
          <w:rFonts w:ascii="宋体" w:hAnsi="宋体" w:eastAsia="宋体"/>
          <w:sz w:val="24"/>
        </w:rPr>
        <w:t>育心园心理咨询中心，吴媚，彭丽华，黄河，江兰著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培育心灵的力量  企业EAP与组织心理健康管理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育心园心理咨询中心，吴媚，彭丽华，黄河，江兰著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本书出售、求购地址：https://www.jiaokey.com/book/detail/14492826.html</w:t>
      </w:r>
    </w:p>
    <w:p>
      <w:r>
        <w:t>更多相关图书推荐：https://www.jiaokey.com</w:t>
      </w:r>
    </w:p>
    <w:p>
      <w:r>
        <w:t>育心园心理咨询中心，吴媚，彭丽华，黄河，江兰著 其他作品：https://www.jiaokey.com/tag/育心园心理咨询中心，吴媚，彭丽华，黄河，江兰著.html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关键词搜索：https://www.jiaokey.com/tag/培育心灵的力量  企业EAP与组织心理健康管理.html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