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长颈鹿与鸽子</w:t>
      </w:r>
    </w:p>
    <w:p>
      <w:r>
        <w:rPr>
          <w:rFonts w:ascii="宋体" w:hAnsi="宋体" w:eastAsia="宋体"/>
          <w:sz w:val="24"/>
        </w:rPr>
        <w:t>（阿联酋）阿卜杜拉·阿里·哈桑·阿哈巴比文图；荣寰译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长颈鹿与鸽子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（阿联酋）阿卜杜拉·阿里·哈桑·阿哈巴比文图；荣寰译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本书出售、求购地址：https://www.jiaokey.com/book/detail/14487607.html</w:t>
      </w:r>
    </w:p>
    <w:p>
      <w:r>
        <w:t>更多相关图书推荐：https://www.jiaokey.com</w:t>
      </w:r>
    </w:p>
    <w:p>
      <w:r>
        <w:t>（阿联酋）阿卜杜拉·阿里·哈桑·阿哈巴比文图；荣寰译 其他作品：https://www.jiaokey.com/tag/（阿联酋）阿卜杜拉·阿里·哈桑·阿哈巴比文图；荣寰译.html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关键词搜索：https://www.jiaokey.com/tag/长颈鹿与鸽子.html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