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回到蝴蝶效应的现场</w:t>
      </w:r>
    </w:p>
    <w:p>
      <w:r>
        <w:rPr>
          <w:rFonts w:ascii="宋体" w:hAnsi="宋体" w:eastAsia="宋体"/>
          <w:sz w:val="24"/>
        </w:rPr>
        <w:t>朴玉铭作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回到蝴蝶效应的现场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朴玉铭作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本书出售、求购地址：https://www.jiaokey.com/book/detail/14484400.html</w:t>
      </w:r>
    </w:p>
    <w:p>
      <w:r>
        <w:t>更多相关图书推荐：https://www.jiaokey.com</w:t>
      </w:r>
    </w:p>
    <w:p>
      <w:r>
        <w:t>朴玉铭作 其他作品：https://www.jiaokey.com/tag/朴玉铭作.html</w:t>
      </w:r>
    </w:p>
    <w:p>
      <w:r>
        <w:t>关键词搜索：https://www.jiaokey.com/tag/史记  回到蝴蝶效应的现场.html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