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企业所得税纳税调整操作实务</w:t>
      </w:r>
    </w:p>
    <w:p>
      <w:r>
        <w:rPr>
          <w:rFonts w:ascii="宋体" w:hAnsi="宋体" w:eastAsia="宋体"/>
          <w:sz w:val="24"/>
        </w:rPr>
        <w:t>吴健，庞军，高行锋编著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吴健，庞军，高行锋编著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本书出售、求购地址：https://www.jiaokey.com/book/detail/14478218.html</w:t>
      </w:r>
    </w:p>
    <w:p>
      <w:r>
        <w:t>更多相关图书推荐：https://www.jiaokey.com</w:t>
      </w:r>
    </w:p>
    <w:p>
      <w:r>
        <w:t>吴健，庞军，高行锋编著 其他作品：https://www.jiaokey.com/tag/吴健，庞军，高行锋编著.html</w:t>
      </w:r>
    </w:p>
    <w:p>
      <w:r>
        <w:t>北京：中国财政经济出版社出版社 出版图书：https://www.jiaokey.com/tag/北京：中国财政经济出版社出版社.html</w:t>
      </w:r>
    </w:p>
    <w:p>
      <w:r>
        <w:t>关键词搜索：https://www.jiaokey.com/tag/企业所得税纳税调整操作实务.html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