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中国裂变核能矿产资源可持续发展战略研究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中国裂变核能矿产资源可持续发展战略研究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本书出售、求购地址：https://www.jiaokey.com/book/detail/14473542.html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关键词搜索：https://www.jiaokey.com/tag/中国裂变核能矿产资源可持续发展战略研究.html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