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新型工业化  生态、民族与人文视点</w:t>
      </w:r>
    </w:p>
    <w:p>
      <w:r>
        <w:rPr>
          <w:rFonts w:ascii="宋体" w:hAnsi="宋体" w:eastAsia="宋体"/>
          <w:sz w:val="24"/>
        </w:rPr>
        <w:t>张海翔著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新型工业化  生态、民族与人文视点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云南人民出版社；云南大学出版社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本书出售、求购地址：https://www.jiaokey.com/book/detail/14472934.html</w:t>
      </w:r>
    </w:p>
    <w:p>
      <w:r>
        <w:t>更多相关图书推荐：https://www.jiaokey.com</w:t>
      </w:r>
    </w:p>
    <w:p>
      <w:r>
        <w:t>张海翔著 其他作品：https://www.jiaokey.com/tag/张海翔著.html</w:t>
      </w:r>
    </w:p>
    <w:p>
      <w:r>
        <w:t>云南人民出版社；云南大学出版社 出版图书：https://www.jiaokey.com/tag/云南人民出版社；云南大学出版社.html</w:t>
      </w:r>
    </w:p>
    <w:p>
      <w:r>
        <w:t>关键词搜索：https://www.jiaokey.com/tag/新型工业化  生态、民族与人文视点.html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