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国际海事组织固体散货安全操作规则</w:t>
      </w:r>
    </w:p>
    <w:p>
      <w:r>
        <w:rPr>
          <w:rFonts w:ascii="宋体" w:hAnsi="宋体" w:eastAsia="宋体"/>
          <w:sz w:val="24"/>
        </w:rPr>
        <w:t>交通部安全监督局编；陈桂卿，王建平译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国际海事组织固体散货安全操作规则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交通部安全监督局编；陈桂卿，王建平译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本书出售、求购地址：https://www.jiaokey.com/book/detail/14470980.html</w:t>
      </w:r>
    </w:p>
    <w:p>
      <w:r>
        <w:t>更多相关图书推荐：https://www.jiaokey.com</w:t>
      </w:r>
    </w:p>
    <w:p>
      <w:r>
        <w:t>交通部安全监督局编；陈桂卿，王建平译 其他作品：https://www.jiaokey.com/tag/交通部安全监督局编；陈桂卿，王建平译.html</w:t>
      </w:r>
    </w:p>
    <w:p>
      <w:r>
        <w:t>大连海运学院出版社 出版图书：https://www.jiaokey.com/tag/大连海运学院出版社.html</w:t>
      </w:r>
    </w:p>
    <w:p>
      <w:r>
        <w:t>关键词搜索：https://www.jiaokey.com/tag/国际海事组织固体散货安全操作规则.html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