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书名：民间借贷利率动态特征及决定机制  温州案例</w:t>
      </w:r>
    </w:p>
    <w:p>
      <w:r>
        <w:t>作者：李义超，张小燕，高雅著</w:t>
      </w:r>
    </w:p>
    <w:p>
      <w:r>
        <w:t>出版社：杭州：浙江工商大学出版社</w:t>
      </w:r>
    </w:p>
    <w:p>
      <w:r>
        <w:t>出版日期：2018.08</w:t>
      </w:r>
    </w:p>
    <w:p>
      <w:r>
        <w:t>总页数：152</w:t>
      </w:r>
    </w:p>
    <w:p>
      <w:r>
        <w:t>更多请访问教客网: www.jiaokey.com</w:t>
      </w:r>
    </w:p>
    <w:p>
      <w:r>
        <w:t>民间借贷利率动态特征及决定机制  温州案例 评论地址：https://www.jiaokey.com/book/detail/14468213.html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