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贵州省民族事务委员会组织史  1950.8-1998.12</w:t>
      </w:r>
    </w:p>
    <w:p>
      <w:r>
        <w:rPr>
          <w:rFonts w:ascii="宋体" w:hAnsi="宋体" w:eastAsia="宋体"/>
          <w:sz w:val="24"/>
        </w:rPr>
        <w:t>龙国辉总篡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贵州省民族事务委员会组织史  1950.8-1998.12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龙国辉总篡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本书出售、求购地址：https://www.jiaokey.com/book/detail/14465026.html</w:t>
      </w:r>
    </w:p>
    <w:p>
      <w:r>
        <w:t>更多相关图书推荐：https://www.jiaokey.com</w:t>
      </w:r>
    </w:p>
    <w:p>
      <w:r>
        <w:t>龙国辉总篡 其他作品：https://www.jiaokey.com/tag/龙国辉总篡.html</w:t>
      </w:r>
    </w:p>
    <w:p>
      <w:r>
        <w:t>贵州省民族事务委员会 出版图书：https://www.jiaokey.com/tag/贵州省民族事务委员会.html</w:t>
      </w:r>
    </w:p>
    <w:p>
      <w:r>
        <w:t>关键词搜索：https://www.jiaokey.com/tag/贵州省民族事务委员会组织史  1950.8-1998.12.html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