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转换企业经营机制建立现代企业制度文件资料汇编  续编  2</w:t>
      </w:r>
    </w:p>
    <w:p>
      <w:r>
        <w:rPr>
          <w:rFonts w:ascii="宋体" w:hAnsi="宋体" w:eastAsia="宋体"/>
          <w:sz w:val="24"/>
        </w:rPr>
        <w:t>贵州省经济委员会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转换企业经营机制建立现代企业制度文件资料汇编  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贵州省经济委员会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本书出售、求购地址：https://www.jiaokey.com/book/detail/14461307.html</w:t>
      </w:r>
    </w:p>
    <w:p>
      <w:r>
        <w:t>更多相关图书推荐：https://www.jiaokey.com</w:t>
      </w:r>
    </w:p>
    <w:p>
      <w:r>
        <w:t>贵州省经济委员会 其他作品：https://www.jiaokey.com/tag/贵州省经济委员会.html</w:t>
      </w:r>
    </w:p>
    <w:p>
      <w:r>
        <w:t>贵州省经济委员会 出版图书：https://www.jiaokey.com/tag/贵州省经济委员会.html</w:t>
      </w:r>
    </w:p>
    <w:p>
      <w:r>
        <w:t>关键词搜索：https://www.jiaokey.com/tag/转换企业经营机制建立现代企业制度文件资料汇编  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