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</w:t>
      </w:r>
    </w:p>
    <w:p>
      <w:r>
        <w:rPr>
          <w:rFonts w:ascii="宋体" w:hAnsi="宋体" w:eastAsia="宋体"/>
          <w:sz w:val="24"/>
        </w:rPr>
        <w:t>沐来龙主审；孟庆华，李广超，赵文峰编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沐来龙主审；孟庆华，李广超，赵文峰编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本书出售、求购地址：https://www.jiaokey.com/book/detail/14457682.html</w:t>
      </w:r>
    </w:p>
    <w:p>
      <w:r>
        <w:t>更多相关图书推荐：https://www.jiaokey.com</w:t>
      </w:r>
    </w:p>
    <w:p>
      <w:r>
        <w:t>沐来龙主审；孟庆华，李广超，赵文峰编 其他作品：https://www.jiaokey.com/tag/沐来龙主审；孟庆华，李广超，赵文峰编.html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