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血源性病原体职业接触防护导则  GBZ/T 213-2008  实施应用指南</w:t>
      </w:r>
    </w:p>
    <w:p>
      <w:r>
        <w:rPr>
          <w:rFonts w:ascii="宋体" w:hAnsi="宋体" w:eastAsia="宋体"/>
          <w:sz w:val="24"/>
        </w:rPr>
        <w:t>张敏，武汝廉主编；李文捷，石春兰副主编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血源性病原体职业接触防护导则  GBZ/T 213-2008  实施应用指南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张敏，武汝廉主编；李文捷，石春兰副主编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本书出售、求购地址：https://www.jiaokey.com/book/detail/14457636.html</w:t>
      </w:r>
    </w:p>
    <w:p>
      <w:r>
        <w:t>更多相关图书推荐：https://www.jiaokey.com</w:t>
      </w:r>
    </w:p>
    <w:p>
      <w:r>
        <w:t>张敏，武汝廉主编；李文捷，石春兰副主编 其他作品：https://www.jiaokey.com/tag/张敏，武汝廉主编；李文捷，石春兰副主编.html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关键词搜索：https://www.jiaokey.com/tag/血源性病原体职业接触防护导则  GBZ/T 213-2008  实施应用指南.html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