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贵州省房地产业2008年度发展报告  政策法规部分</w:t>
      </w:r>
    </w:p>
    <w:p>
      <w:r>
        <w:rPr>
          <w:rFonts w:ascii="宋体" w:hAnsi="宋体" w:eastAsia="宋体"/>
          <w:sz w:val="24"/>
        </w:rPr>
        <w:t>贵州省建设厅·贵州省房地产业协会编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贵州省房地产业2008年度发展报告  政策法规部分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贵州省建设厅·贵州省房地产业协会编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本书出售、求购地址：https://www.jiaokey.com/book/detail/14457329.html</w:t>
      </w:r>
    </w:p>
    <w:p>
      <w:r>
        <w:t>更多相关图书推荐：https://www.jiaokey.com</w:t>
      </w:r>
    </w:p>
    <w:p>
      <w:r>
        <w:t>贵州省建设厅·贵州省房地产业协会编 其他作品：https://www.jiaokey.com/tag/贵州省建设厅·贵州省房地产业协会编.html</w:t>
      </w:r>
    </w:p>
    <w:p>
      <w:r>
        <w:t>关键词搜索：https://www.jiaokey.com/tag/贵州省房地产业2008年度发展报告  政策法规部分.html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