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风险社会的治理之道  重大突发公共事件的政府协调治理</w:t>
      </w:r>
    </w:p>
    <w:p>
      <w:r>
        <w:rPr>
          <w:rFonts w:ascii="宋体" w:hAnsi="宋体" w:eastAsia="宋体"/>
          <w:sz w:val="24"/>
        </w:rPr>
        <w:t>金太军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风险社会的治理之道  重大突发公共事件的政府协调治理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本书出售、求购地址：https://www.jiaokey.com/book/detail/14456049.html</w:t>
      </w:r>
    </w:p>
    <w:p>
      <w:r>
        <w:t>更多相关图书推荐：https://www.jiaokey.com</w:t>
      </w:r>
    </w:p>
    <w:p>
      <w:r>
        <w:t>金太军 其他作品：https://www.jiaokey.com/tag/金太军.html</w:t>
      </w:r>
    </w:p>
    <w:p>
      <w:r>
        <w:t>关键词搜索：https://www.jiaokey.com/tag/风险社会的治理之道  重大突发公共事件的政府协调治理.html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