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儿科疾病诊断标准解读</w:t>
      </w:r>
    </w:p>
    <w:p>
      <w:r>
        <w:rPr>
          <w:rFonts w:ascii="宋体" w:hAnsi="宋体" w:eastAsia="宋体"/>
          <w:sz w:val="24"/>
        </w:rPr>
        <w:t>赵正言主编；母得志，赵晓东，姜玉武，江米足副主编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儿科疾病诊断标准解读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赵正言主编；母得志，赵晓东，姜玉武，江米足副主编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本书出售、求购地址：https://www.jiaokey.com/book/detail/14453871.html</w:t>
      </w:r>
    </w:p>
    <w:p>
      <w:r>
        <w:t>更多相关图书推荐：https://www.jiaokey.com</w:t>
      </w:r>
    </w:p>
    <w:p>
      <w:r>
        <w:t>赵正言主编；母得志，赵晓东，姜玉武，江米足副主编 其他作品：https://www.jiaokey.com/tag/赵正言主编；母得志，赵晓东，姜玉武，江米足副主编.html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关键词搜索：https://www.jiaokey.com/tag/儿科疾病诊断标准解读.html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