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严格反馈系统预设性能控制</w:t>
      </w:r>
    </w:p>
    <w:p>
      <w:r>
        <w:rPr>
          <w:rFonts w:ascii="宋体" w:hAnsi="宋体" w:eastAsia="宋体"/>
          <w:sz w:val="24"/>
        </w:rPr>
        <w:t>耿宝亮，梁勇，祁亚辉，韦建明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严格反馈系统预设性能控制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耿宝亮，梁勇，祁亚辉，韦建明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本书出售、求购地址：https://www.jiaokey.com/book/detail/14452417.html</w:t>
      </w:r>
    </w:p>
    <w:p>
      <w:r>
        <w:t>更多相关图书推荐：https://www.jiaokey.com</w:t>
      </w:r>
    </w:p>
    <w:p>
      <w:r>
        <w:t>耿宝亮，梁勇，祁亚辉，韦建明 其他作品：https://www.jiaokey.com/tag/耿宝亮，梁勇，祁亚辉，韦建明.html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关键词搜索：https://www.jiaokey.com/tag/严格反馈系统预设性能控制.html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