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知识产权案例指导新探索</w:t>
      </w:r>
    </w:p>
    <w:p>
      <w:r>
        <w:rPr>
          <w:rFonts w:ascii="宋体" w:hAnsi="宋体" w:eastAsia="宋体"/>
          <w:sz w:val="24"/>
        </w:rPr>
        <w:t>宿迟主编；最高人民法院知识产权案例指导研究（北京）基地，北京知识产权法院编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知识产权案例指导新探索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宿迟主编；最高人民法院知识产权案例指导研究（北京）基地，北京知识产权法院编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本书出售、求购地址：https://www.jiaokey.com/book/detail/14447426.html</w:t>
      </w:r>
    </w:p>
    <w:p>
      <w:r>
        <w:t>更多相关图书推荐：https://www.jiaokey.com</w:t>
      </w:r>
    </w:p>
    <w:p>
      <w:r>
        <w:t>宿迟主编；最高人民法院知识产权案例指导研究（北京）基地，北京知识产权法院编 其他作品：https://www.jiaokey.com/tag/宿迟主编；最高人民法院知识产权案例指导研究（北京）基地，北京知识产权法院编.html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关键词搜索：https://www.jiaokey.com/tag/知识产权案例指导新探索.html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