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普通高等院校“十三五”规划教材  证券投资分析</w:t>
      </w:r>
    </w:p>
    <w:p>
      <w:r>
        <w:rPr>
          <w:rFonts w:ascii="宋体" w:hAnsi="宋体" w:eastAsia="宋体"/>
          <w:sz w:val="24"/>
        </w:rPr>
        <w:t>李义龙，徐伟川，吕重犁，孙海洋，余小阳，赵宏，张微娜，王乐，陈冬亚，崔丹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普通高等院校“十三五”规划教材  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李义龙，徐伟川，吕重犁，孙海洋，余小阳，赵宏，张微娜，王乐，陈冬亚，崔丹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本书出售、求购地址：https://www.jiaokey.com/book/detail/14447378.html</w:t>
      </w:r>
    </w:p>
    <w:p>
      <w:r>
        <w:t>更多相关图书推荐：https://www.jiaokey.com</w:t>
      </w:r>
    </w:p>
    <w:p>
      <w:r>
        <w:t>李义龙，徐伟川，吕重犁，孙海洋，余小阳，赵宏，张微娜，王乐，陈冬亚，崔丹 其他作品：https://www.jiaokey.com/tag/李义龙，徐伟川，吕重犁，孙海洋，余小阳，赵宏，张微娜，王乐，陈冬亚，崔丹.html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关键词搜索：https://www.jiaokey.com/tag/普通高等院校“十三五”规划教材  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