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新审计报告准则解读及上市公司审计报告案例解析</w:t>
      </w:r>
    </w:p>
    <w:p>
      <w:r>
        <w:rPr>
          <w:rFonts w:ascii="宋体" w:hAnsi="宋体" w:eastAsia="宋体"/>
          <w:sz w:val="24"/>
        </w:rPr>
        <w:t>致同会计师事务所（特殊普通合伙）专业技术部编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新审计报告准则解读及上市公司审计报告案例解析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致同会计师事务所（特殊普通合伙）专业技术部编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本书出售、求购地址：https://www.jiaokey.com/book/detail/14445244.html</w:t>
      </w:r>
    </w:p>
    <w:p>
      <w:r>
        <w:t>更多相关图书推荐：https://www.jiaokey.com</w:t>
      </w:r>
    </w:p>
    <w:p>
      <w:r>
        <w:t>致同会计师事务所（特殊普通合伙）专业技术部编 其他作品：https://www.jiaokey.com/tag/致同会计师事务所（特殊普通合伙）专业技术部编.html</w:t>
      </w:r>
    </w:p>
    <w:p>
      <w:r>
        <w:t>关键词搜索：https://www.jiaokey.com/tag/新审计报告准则解读及上市公司审计报告案例解析.html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