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高水平竞技体育管理</w:t>
      </w:r>
    </w:p>
    <w:p>
      <w:r>
        <w:rPr>
          <w:rFonts w:ascii="宋体" w:hAnsi="宋体" w:eastAsia="宋体"/>
          <w:sz w:val="24"/>
        </w:rPr>
        <w:t>（澳）波波西提里亚杜，（比）韦尔德布罗什主编；田慧主译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高水平竞技体育管理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（澳）波波西提里亚杜，（比）韦尔德布罗什主编；田慧主译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本书出售、求购地址：https://www.jiaokey.com/book/detail/14443745.html</w:t>
      </w:r>
    </w:p>
    <w:p>
      <w:r>
        <w:t>更多相关图书推荐：https://www.jiaokey.com</w:t>
      </w:r>
    </w:p>
    <w:p>
      <w:r>
        <w:t>（澳）波波西提里亚杜，（比）韦尔德布罗什主编；田慧主译 其他作品：https://www.jiaokey.com/tag/（澳）波波西提里亚杜，（比）韦尔德布罗什主编；田慧主译.html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关键词搜索：https://www.jiaokey.com/tag/高水平竞技体育管理.html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