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当代中国政治经济学  新发展理念的逻辑机理和实现路径</w:t>
      </w:r>
    </w:p>
    <w:p>
      <w:r>
        <w:rPr>
          <w:rFonts w:ascii="宋体" w:hAnsi="宋体" w:eastAsia="宋体"/>
          <w:sz w:val="24"/>
        </w:rPr>
        <w:t>田学斌著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当代中国政治经济学  新发展理念的逻辑机理和实现路径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本书出售、求购地址：https://www.jiaokey.com/book/detail/14440852.html</w:t>
      </w:r>
    </w:p>
    <w:p>
      <w:r>
        <w:t>更多相关图书推荐：https://www.jiaokey.com</w:t>
      </w:r>
    </w:p>
    <w:p>
      <w:r>
        <w:t>田学斌著 其他作品：https://www.jiaokey.com/tag/田学斌著.html</w:t>
      </w:r>
    </w:p>
    <w:p>
      <w:r>
        <w:t>关键词搜索：https://www.jiaokey.com/tag/当代中国政治经济学  新发展理念的逻辑机理和实现路径.html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