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最惠国条款适用于国际投资争端解决程序问题研究</w:t>
      </w:r>
    </w:p>
    <w:p>
      <w:r>
        <w:rPr>
          <w:rFonts w:ascii="宋体" w:hAnsi="宋体" w:eastAsia="宋体"/>
          <w:sz w:val="24"/>
        </w:rPr>
        <w:t>田海著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最惠国条款适用于国际投资争端解决程序问题研究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本书出售、求购地址：https://www.jiaokey.com/book/detail/14440768.html</w:t>
      </w:r>
    </w:p>
    <w:p>
      <w:r>
        <w:t>更多相关图书推荐：https://www.jiaokey.com</w:t>
      </w:r>
    </w:p>
    <w:p>
      <w:r>
        <w:t>田海著 其他作品：https://www.jiaokey.com/tag/田海著.html</w:t>
      </w:r>
    </w:p>
    <w:p>
      <w:r>
        <w:t>关键词搜索：https://www.jiaokey.com/tag/最惠国条款适用于国际投资争端解决程序问题研究.html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