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民国初期的中日民间经济外交  以商人组织为主体的历史考察</w:t>
      </w:r>
    </w:p>
    <w:p>
      <w:r>
        <w:rPr>
          <w:rFonts w:ascii="宋体" w:hAnsi="宋体" w:eastAsia="宋体"/>
          <w:sz w:val="24"/>
        </w:rPr>
        <w:t>于文浩著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民国初期的中日民间经济外交  以商人组织为主体的历史考察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本书出售、求购地址：https://www.jiaokey.com/book/detail/14437902.html</w:t>
      </w:r>
    </w:p>
    <w:p>
      <w:r>
        <w:t>更多相关图书推荐：https://www.jiaokey.com</w:t>
      </w:r>
    </w:p>
    <w:p>
      <w:r>
        <w:t>于文浩著 其他作品：https://www.jiaokey.com/tag/于文浩著.html</w:t>
      </w:r>
    </w:p>
    <w:p>
      <w:r>
        <w:t>关键词搜索：https://www.jiaokey.com/tag/民国初期的中日民间经济外交  以商人组织为主体的历史考察.html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