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商业银行保证金质押的运行机制与风险管理</w:t>
      </w:r>
    </w:p>
    <w:p>
      <w:r>
        <w:rPr>
          <w:rFonts w:ascii="宋体" w:hAnsi="宋体" w:eastAsia="宋体"/>
          <w:sz w:val="24"/>
        </w:rPr>
        <w:t>沈冬军等著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商业银行保证金质押的运行机制与风险管理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本书出售、求购地址：https://www.jiaokey.com/book/detail/14435055.html</w:t>
      </w:r>
    </w:p>
    <w:p>
      <w:r>
        <w:t>更多相关图书推荐：https://www.jiaokey.com</w:t>
      </w:r>
    </w:p>
    <w:p>
      <w:r>
        <w:t>沈冬军等著 其他作品：https://www.jiaokey.com/tag/沈冬军等著.html</w:t>
      </w:r>
    </w:p>
    <w:p>
      <w:r>
        <w:t>关键词搜索：https://www.jiaokey.com/tag/商业银行保证金质押的运行机制与风险管理.html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