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石墨烯材料基本原理与新兴应用</w:t>
      </w:r>
    </w:p>
    <w:p>
      <w:r>
        <w:rPr>
          <w:rFonts w:ascii="宋体" w:hAnsi="宋体" w:eastAsia="宋体"/>
          <w:sz w:val="24"/>
        </w:rPr>
        <w:t>（美）阿舒塔什·蒂瓦里，（瑞典）米凯尔·西瓦贾维主编；中国石化催化剂有限公司译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石墨烯材料基本原理与新兴应用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（美）阿舒塔什·蒂瓦里，（瑞典）米凯尔·西瓦贾维主编；中国石化催化剂有限公司译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本书出售、求购地址：https://www.jiaokey.com/book/detail/14432043.html</w:t>
      </w:r>
    </w:p>
    <w:p>
      <w:r>
        <w:t>更多相关图书推荐：https://www.jiaokey.com</w:t>
      </w:r>
    </w:p>
    <w:p>
      <w:r>
        <w:t>（美）阿舒塔什·蒂瓦里，（瑞典）米凯尔·西瓦贾维主编；中国石化催化剂有限公司译 其他作品：https://www.jiaokey.com/tag/（美）阿舒塔什·蒂瓦里，（瑞典）米凯尔·西瓦贾维主编；中国石化催化剂有限公司译.html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关键词搜索：https://www.jiaokey.com/tag/石墨烯材料基本原理与新兴应用.html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