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网络集群行为生成机理及调控策略研究</w:t>
      </w:r>
    </w:p>
    <w:p>
      <w:r>
        <w:rPr>
          <w:rFonts w:ascii="宋体" w:hAnsi="宋体" w:eastAsia="宋体"/>
          <w:sz w:val="24"/>
        </w:rPr>
        <w:t>姚江龙，曲欣欣著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网络集群行为生成机理及调控策略研究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姚江龙，曲欣欣著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本书出售、求购地址：https://www.jiaokey.com/book/detail/14425086.html</w:t>
      </w:r>
    </w:p>
    <w:p>
      <w:r>
        <w:t>更多相关图书推荐：https://www.jiaokey.com</w:t>
      </w:r>
    </w:p>
    <w:p>
      <w:r>
        <w:t>姚江龙，曲欣欣著 其他作品：https://www.jiaokey.com/tag/姚江龙，曲欣欣著.html</w:t>
      </w:r>
    </w:p>
    <w:p>
      <w:r>
        <w:t>合肥：黄山书社 出版图书：https://www.jiaokey.com/tag/合肥：黄山书社.html</w:t>
      </w:r>
    </w:p>
    <w:p>
      <w:r>
        <w:t>关键词搜索：https://www.jiaokey.com/tag/网络集群行为生成机理及调控策略研究.html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