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雾霾污染的经济分析与京津冀三方联动治理合作机制研究</w:t>
      </w:r>
    </w:p>
    <w:p>
      <w:r>
        <w:rPr>
          <w:rFonts w:ascii="宋体" w:hAnsi="宋体" w:eastAsia="宋体"/>
          <w:sz w:val="24"/>
        </w:rPr>
        <w:t>李慧凤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雾霾污染的经济分析与京津冀三方联动治理合作机制研究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本书出售、求购地址：https://www.jiaokey.com/book/detail/14424964.html</w:t>
      </w:r>
    </w:p>
    <w:p>
      <w:r>
        <w:t>更多相关图书推荐：https://www.jiaokey.com</w:t>
      </w:r>
    </w:p>
    <w:p>
      <w:r>
        <w:t>李慧凤 其他作品：https://www.jiaokey.com/tag/李慧凤.html</w:t>
      </w:r>
    </w:p>
    <w:p>
      <w:r>
        <w:t>关键词搜索：https://www.jiaokey.com/tag/雾霾污染的经济分析与京津冀三方联动治理合作机制研究.html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