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</w:t>
      </w:r>
    </w:p>
    <w:p>
      <w:r>
        <w:rPr>
          <w:rFonts w:ascii="宋体" w:hAnsi="宋体" w:eastAsia="宋体"/>
          <w:sz w:val="24"/>
        </w:rPr>
        <w:t>石倩，刘皓淼主编；陈艳梅，王庆彤，刘丹，亓翠兰副主编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石倩，刘皓淼主编；陈艳梅，王庆彤，刘丹，亓翠兰副主编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本书出售、求购地址：https://www.jiaokey.com/book/detail/14421477.html</w:t>
      </w:r>
    </w:p>
    <w:p>
      <w:r>
        <w:t>更多相关图书推荐：https://www.jiaokey.com</w:t>
      </w:r>
    </w:p>
    <w:p>
      <w:r>
        <w:t>石倩，刘皓淼主编；陈艳梅，王庆彤，刘丹，亓翠兰副主编 其他作品：https://www.jiaokey.com/tag/石倩，刘皓淼主编；陈艳梅，王庆彤，刘丹，亓翠兰副主编.html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关键词搜索：https://www.jiaokey.com/tag/财经法规与会计职业道德.html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