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工业机器人操作与编程</w:t>
      </w:r>
    </w:p>
    <w:p>
      <w:r>
        <w:rPr>
          <w:rFonts w:ascii="宋体" w:hAnsi="宋体" w:eastAsia="宋体"/>
          <w:sz w:val="24"/>
        </w:rPr>
        <w:t>佘明洪，余永洪主编；赵鹏举，童世华，李毅副主编；王伟强，刘丹，刘明，杨玉平，陈卫参编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佘明洪，余永洪主编；赵鹏举，童世华，李毅副主编；王伟强，刘丹，刘明，杨玉平，陈卫参编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本书出售、求购地址：https://www.jiaokey.com/book/detail/14418928.html</w:t>
      </w:r>
    </w:p>
    <w:p>
      <w:r>
        <w:t>更多相关图书推荐：https://www.jiaokey.com</w:t>
      </w:r>
    </w:p>
    <w:p>
      <w:r>
        <w:t>佘明洪，余永洪主编；赵鹏举，童世华，李毅副主编；王伟强，刘丹，刘明，杨玉平，陈卫参编 其他作品：https://www.jiaokey.com/tag/佘明洪，余永洪主编；赵鹏举，童世华，李毅副主编；王伟强，刘丹，刘明，杨玉平，陈卫参编.html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