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工业锅炉设备与运行</w:t>
      </w:r>
    </w:p>
    <w:p>
      <w:r>
        <w:rPr>
          <w:rFonts w:ascii="宋体" w:hAnsi="宋体" w:eastAsia="宋体"/>
          <w:sz w:val="24"/>
        </w:rPr>
        <w:t>白凤臣主编；马文姝副主编；居晨红，魏少波参编；黄波主审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白凤臣主编；马文姝副主编；居晨红，魏少波参编；黄波主审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本书出售、求购地址：https://www.jiaokey.com/book/detail/14418873.html</w:t>
      </w:r>
    </w:p>
    <w:p>
      <w:r>
        <w:t>更多相关图书推荐：https://www.jiaokey.com</w:t>
      </w:r>
    </w:p>
    <w:p>
      <w:r>
        <w:t>白凤臣主编；马文姝副主编；居晨红，魏少波参编；黄波主审 其他作品：https://www.jiaokey.com/tag/白凤臣主编；马文姝副主编；居晨红，魏少波参编；黄波主审.html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关键词搜索：https://www.jiaokey.com/tag/工业锅炉设备与运行.html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