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园林工程图的识读与绘制</w:t>
      </w:r>
    </w:p>
    <w:p>
      <w:r>
        <w:rPr>
          <w:rFonts w:ascii="宋体" w:hAnsi="宋体" w:eastAsia="宋体"/>
          <w:sz w:val="24"/>
        </w:rPr>
        <w:t>孛随文，宁妍妍，许祖生编著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园林工程图的识读与绘制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孛随文，宁妍妍，许祖生编著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本书出售、求购地址：https://www.jiaokey.com/book/detail/14418773.html</w:t>
      </w:r>
    </w:p>
    <w:p>
      <w:r>
        <w:t>更多相关图书推荐：https://www.jiaokey.com</w:t>
      </w:r>
    </w:p>
    <w:p>
      <w:r>
        <w:t>孛随文，宁妍妍，许祖生编著 其他作品：https://www.jiaokey.com/tag/孛随文，宁妍妍，许祖生编著.html</w:t>
      </w:r>
    </w:p>
    <w:p>
      <w:r>
        <w:t>咸阳：西北农林科学技术大学出版社 出版图书：https://www.jiaokey.com/tag/咸阳：西北农林科学技术大学出版社.html</w:t>
      </w:r>
    </w:p>
    <w:p>
      <w:r>
        <w:t>关键词搜索：https://www.jiaokey.com/tag/园林工程图的识读与绘制.html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