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  十三五  汽车电气构造与维修  第2版</w:t>
      </w:r>
    </w:p>
    <w:p>
      <w:r>
        <w:rPr>
          <w:rFonts w:ascii="宋体" w:hAnsi="宋体" w:eastAsia="宋体"/>
          <w:sz w:val="24"/>
        </w:rPr>
        <w:t>张伟主编；姚明傲，段艳文，李宏峰副主编；高卫明主审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  十三五  汽车电气构造与维修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张伟主编；姚明傲，段艳文，李宏峰副主编；高卫明主审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本书出售、求购地址：https://www.jiaokey.com/book/detail/14416933.html</w:t>
      </w:r>
    </w:p>
    <w:p>
      <w:r>
        <w:t>更多相关图书推荐：https://www.jiaokey.com</w:t>
      </w:r>
    </w:p>
    <w:p>
      <w:r>
        <w:t>张伟主编；姚明傲，段艳文，李宏峰副主编；高卫明主审 其他作品：https://www.jiaokey.com/tag/张伟主编；姚明傲，段艳文，李宏峰副主编；高卫明主审.html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关键词搜索：https://www.jiaokey.com/tag/高职高专  十三五  汽车电气构造与维修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