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资源配置方式改革与创新  《关于创新政府配置资源方式的指导意见》条文释义与解读</w:t>
      </w:r>
    </w:p>
    <w:p>
      <w:r>
        <w:rPr>
          <w:rFonts w:ascii="宋体" w:hAnsi="宋体" w:eastAsia="宋体"/>
          <w:sz w:val="24"/>
        </w:rPr>
        <w:t>毛林繁主编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资源配置方式改革与创新  《关于创新政府配置资源方式的指导意见》条文释义与解读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毛林繁主编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本书出售、求购地址：https://www.jiaokey.com/book/detail/14416532.html</w:t>
      </w:r>
    </w:p>
    <w:p>
      <w:r>
        <w:t>更多相关图书推荐：https://www.jiaokey.com</w:t>
      </w:r>
    </w:p>
    <w:p>
      <w:r>
        <w:t>毛林繁主编 其他作品：https://www.jiaokey.com/tag/毛林繁主编.html</w:t>
      </w:r>
    </w:p>
    <w:p>
      <w:r>
        <w:t>关键词搜索：https://www.jiaokey.com/tag/资源配置方式改革与创新  《关于创新政府配置资源方式的指导意见》条文释义与解读.html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