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构建21世纪高等农林教育体系的探索与实践  2  以评促建-世纪跨越的积极准备</w:t>
      </w:r>
    </w:p>
    <w:p>
      <w:r>
        <w:rPr>
          <w:rFonts w:ascii="宋体" w:hAnsi="宋体" w:eastAsia="宋体"/>
          <w:sz w:val="24"/>
        </w:rPr>
        <w:t>《面向21世纪高等农林教育教学内容和课程体系改革计划》工作协调指导小组编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构建21世纪高等农林教育体系的探索与实践  2  以评促建-世纪跨越的积极准备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《面向21世纪高等农林教育教学内容和课程体系改革计划》工作协调指导小组编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本书出售、求购地址：https://www.jiaokey.com/book/detail/14416508.html</w:t>
      </w:r>
    </w:p>
    <w:p>
      <w:r>
        <w:t>更多相关图书推荐：https://www.jiaokey.com</w:t>
      </w:r>
    </w:p>
    <w:p>
      <w:r>
        <w:t>《面向21世纪高等农林教育教学内容和课程体系改革计划》工作协调指导小组编 其他作品：https://www.jiaokey.com/tag/《面向21世纪高等农林教育教学内容和课程体系改革计划》工作协调指导小组编.html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关键词搜索：https://www.jiaokey.com/tag/构建21世纪高等农林教育体系的探索与实践  2  以评促建-世纪跨越的积极准备.html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