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彩绘注音版</w:t>
      </w:r>
    </w:p>
    <w:p>
      <w:r>
        <w:rPr>
          <w:rFonts w:ascii="宋体" w:hAnsi="宋体" w:eastAsia="宋体"/>
          <w:sz w:val="24"/>
        </w:rPr>
        <w:t>（法）儒勒·凡尔纳著；姜青叶编译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0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（法）儒勒·凡尔纳著；姜青叶编译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本书出售、求购地址：https://www.jiaokey.com/book/detail/14410600.html</w:t>
      </w:r>
    </w:p>
    <w:p>
      <w:r>
        <w:t>更多相关图书推荐：https://www.jiaokey.com</w:t>
      </w:r>
    </w:p>
    <w:p>
      <w:r>
        <w:t>（法）儒勒·凡尔纳著；姜青叶编译 其他作品：https://www.jiaokey.com/tag/（法）儒勒·凡尔纳著；姜青叶编译.html</w:t>
      </w:r>
    </w:p>
    <w:p>
      <w:r>
        <w:t>成都:四川少年儿童出版社,2018.03 出版图书：https://www.jiaokey.com/tag/成都:四川少年儿童出版社,2018.03.html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