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  权力与赞助机制  文艺复兴时期意大利职业艺术家的兴起</w:t>
      </w:r>
    </w:p>
    <w:p>
      <w:r>
        <w:rPr>
          <w:rFonts w:ascii="宋体" w:hAnsi="宋体" w:eastAsia="宋体"/>
          <w:sz w:val="24"/>
        </w:rPr>
        <w:t>（荷）布拉姆·克姆佩斯著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  权力与赞助机制  文艺复兴时期意大利职业艺术家的兴起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（荷）布拉姆·克姆佩斯著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本书出售、求购地址：https://www.jiaokey.com/book/detail/14410206.html</w:t>
      </w:r>
    </w:p>
    <w:p>
      <w:r>
        <w:t>更多相关图书推荐：https://www.jiaokey.com</w:t>
      </w:r>
    </w:p>
    <w:p>
      <w:r>
        <w:t>（荷）布拉姆·克姆佩斯著 其他作品：https://www.jiaokey.com/tag/（荷）布拉姆·克姆佩斯著.html</w:t>
      </w:r>
    </w:p>
    <w:p>
      <w:r>
        <w:t>关键词搜索：https://www.jiaokey.com/tag/绘画  权力与赞助机制  文艺复兴时期意大利职业艺术家的兴起.html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