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文艺作品侵权判定的司法标准  琼瑶诉于正案的审理思路</w:t>
      </w:r>
    </w:p>
    <w:p>
      <w:r>
        <w:rPr>
          <w:rFonts w:ascii="宋体" w:hAnsi="宋体" w:eastAsia="宋体"/>
          <w:sz w:val="24"/>
        </w:rPr>
        <w:t>宋鱼水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文艺作品侵权判定的司法标准  琼瑶诉于正案的审理思路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宋鱼水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本书出售、求购地址：https://www.jiaokey.com/book/detail/14410160.html</w:t>
      </w:r>
    </w:p>
    <w:p>
      <w:r>
        <w:t>更多相关图书推荐：https://www.jiaokey.com</w:t>
      </w:r>
    </w:p>
    <w:p>
      <w:r>
        <w:t>宋鱼水 其他作品：https://www.jiaokey.com/tag/宋鱼水.html</w:t>
      </w:r>
    </w:p>
    <w:p>
      <w:r>
        <w:t>关键词搜索：https://www.jiaokey.com/tag/文艺作品侵权判定的司法标准  琼瑶诉于正案的审理思路.html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