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高级隐喻</w:t>
      </w:r>
    </w:p>
    <w:p>
      <w:r>
        <w:rPr>
          <w:rFonts w:ascii="宋体" w:hAnsi="宋体" w:eastAsia="宋体"/>
          <w:sz w:val="24"/>
        </w:rPr>
        <w:t>玛丽莲·阿特金森（Marilyn Atkinson）著；吴佳，王利娟，杨兰译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玛丽莲·阿特金森（Marilyn Atkinson）著；吴佳，王利娟，杨兰译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本书出售、求购地址：https://www.jiaokey.com/book/detail/14408437.html</w:t>
      </w:r>
    </w:p>
    <w:p>
      <w:r>
        <w:t>更多相关图书推荐：https://www.jiaokey.com</w:t>
      </w:r>
    </w:p>
    <w:p>
      <w:r>
        <w:t>玛丽莲·阿特金森（Marilyn Atkinson）著；吴佳，王利娟，杨兰译 其他作品：https://www.jiaokey.com/tag/玛丽莲·阿特金森（Marilyn Atkinson）著；吴佳，王利娟，杨兰译.html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关键词搜索：https://www.jiaokey.com/tag/高级隐喻.html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