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人间情怀  解读《来到人间的日子》</w:t>
      </w:r>
    </w:p>
    <w:p>
      <w:r>
        <w:rPr>
          <w:rFonts w:ascii="宋体" w:hAnsi="宋体" w:eastAsia="宋体"/>
          <w:sz w:val="24"/>
        </w:rPr>
        <w:t>可人主编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人间情怀  解读《来到人间的日子》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本书出售、求购地址：https://www.jiaokey.com/book/detail/14407784.html</w:t>
      </w:r>
    </w:p>
    <w:p>
      <w:r>
        <w:t>更多相关图书推荐：https://www.jiaokey.com</w:t>
      </w:r>
    </w:p>
    <w:p>
      <w:r>
        <w:t>可人主编 其他作品：https://www.jiaokey.com/tag/可人主编.html</w:t>
      </w:r>
    </w:p>
    <w:p>
      <w:r>
        <w:t>四季出版社 出版图书：https://www.jiaokey.com/tag/四季出版社.html</w:t>
      </w:r>
    </w:p>
    <w:p>
      <w:r>
        <w:t>关键词搜索：https://www.jiaokey.com/tag/人间情怀  解读《来到人间的日子》.html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