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  占有与本权章  建议稿  条文说明  案例模型和理论阐释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  占有与本权章  建议稿  条文说明  案例模型和理论阐释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本书出售、求购地址：https://www.jiaokey.com/book/detail/14406058.html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关键词搜索：https://www.jiaokey.com/tag/民法典  占有与本权章  建议稿  条文说明  案例模型和理论阐释.html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